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  <w:sz w:val="40"/>
        </w:rPr>
        <w:t xml:space="preserve">Personuppgiftsbiträdesavtal (PUB)</w:t>
      </w:r>
    </w:p>
    <w:p>
      <w:pPr>
        <w:spacing w:after="160"/>
      </w:pPr>
      <w:r>
        <w:rPr/>
        <w:t xml:space="preserve">Krävs när en leverantör behandlar personuppgifter för din räkning.</w:t>
      </w:r>
    </w:p>
    <w:p>
      <w:pPr>
        <w:spacing w:after="160"/>
      </w:pPr>
      <w:r>
        <w:rPr>
          <w:b/>
          <w:sz w:val="28"/>
        </w:rPr>
        <w:t xml:space="preserve">1. Parter</w:t>
      </w:r>
    </w:p>
    <w:p>
      <w:pPr>
        <w:spacing w:after="160"/>
      </w:pPr>
      <w:r>
        <w:rPr/>
        <w:t xml:space="preserve">Personuppgiftsansvarig: [Företagsnamn], org.nr [xxxxxx-xxxx]. Personuppgiftsbiträde: [Företagsnamn], org.nr [xxxxxx-xxxx].</w:t>
      </w:r>
    </w:p>
    <w:p>
      <w:pPr>
        <w:spacing w:after="160"/>
      </w:pPr>
      <w:r>
        <w:rPr>
          <w:b/>
          <w:sz w:val="28"/>
        </w:rPr>
        <w:t xml:space="preserve">2. Föremål och varaktighet</w:t>
      </w:r>
    </w:p>
    <w:p>
      <w:pPr>
        <w:spacing w:after="160"/>
      </w:pPr>
      <w:r>
        <w:rPr/>
        <w:t xml:space="preserve">Biträdet behandlar personuppgifter för den ansvariges räkning inom ramen för [tjänsten] under avtalstiden [period].</w:t>
      </w:r>
    </w:p>
    <w:p>
      <w:pPr>
        <w:spacing w:after="160"/>
      </w:pPr>
      <w:r>
        <w:rPr>
          <w:b/>
          <w:sz w:val="28"/>
        </w:rPr>
        <w:t xml:space="preserve">3. Behandlingens art och ändamål</w:t>
      </w:r>
    </w:p>
    <w:p>
      <w:pPr>
        <w:spacing w:after="160"/>
      </w:pPr>
      <w:r>
        <w:rPr/>
        <w:t xml:space="preserve">Ändamål: [t.ex. leverans av tjänst, support, drift]. Kategorier av registrerade: [kunder, anställda, kontaktpersoner]. Kategorier av uppgifter: [namn, kontaktuppgifter, betalningsuppgifter].</w:t>
      </w:r>
    </w:p>
    <w:p>
      <w:pPr>
        <w:spacing w:after="160"/>
      </w:pPr>
      <w:r>
        <w:rPr>
          <w:b/>
          <w:sz w:val="28"/>
        </w:rPr>
        <w:t xml:space="preserve">4. Instruktioner</w:t>
      </w:r>
    </w:p>
    <w:p>
      <w:pPr>
        <w:spacing w:after="160"/>
      </w:pPr>
      <w:r>
        <w:rPr/>
        <w:t xml:space="preserve">Biträdet får endast behandla uppgifterna enligt dokumenterade instruktioner från den ansvarige och ska genast underrätta den ansvarige om en instruktion strider mot dataskyddsreglerna.</w:t>
      </w:r>
    </w:p>
    <w:p>
      <w:pPr>
        <w:spacing w:after="160"/>
      </w:pPr>
      <w:r>
        <w:rPr>
          <w:b/>
          <w:sz w:val="28"/>
        </w:rPr>
        <w:t xml:space="preserve">5. Säkerhet</w:t>
      </w:r>
    </w:p>
    <w:p>
      <w:pPr>
        <w:spacing w:after="160"/>
      </w:pPr>
      <w:r>
        <w:rPr/>
        <w:t xml:space="preserve">Biträdet ska vidta lämpliga tekniska och organisatoriska åtgärder, bland annat behörighetsstyrning, kryptering, loggning, säkerhetskopiering och kontinuitetsplanering.</w:t>
      </w:r>
    </w:p>
    <w:p>
      <w:pPr>
        <w:spacing w:after="160"/>
      </w:pPr>
      <w:r>
        <w:rPr>
          <w:b/>
          <w:sz w:val="28"/>
        </w:rPr>
        <w:t xml:space="preserve">6. Tystnadsplikt</w:t>
      </w:r>
    </w:p>
    <w:p>
      <w:pPr>
        <w:spacing w:after="160"/>
      </w:pPr>
      <w:r>
        <w:rPr/>
        <w:t xml:space="preserve">Personal med åtkomst till uppgifterna ska omfattas av tystnadsplikt.</w:t>
      </w:r>
    </w:p>
    <w:p>
      <w:pPr>
        <w:spacing w:after="160"/>
      </w:pPr>
      <w:r>
        <w:rPr>
          <w:b/>
          <w:sz w:val="28"/>
        </w:rPr>
        <w:t xml:space="preserve">7. Underbiträden</w:t>
      </w:r>
    </w:p>
    <w:p>
      <w:pPr>
        <w:spacing w:after="160"/>
      </w:pPr>
      <w:r>
        <w:rPr/>
        <w:t xml:space="preserve">Biträdet får anlita underbiträden endast efter [generellt/specifikt] skriftligt godkännande och ska ålägga dem samma skyldigheter. Godkända underbiträden listas i bilaga 1.</w:t>
      </w:r>
    </w:p>
    <w:p>
      <w:pPr>
        <w:spacing w:after="160"/>
      </w:pPr>
      <w:r>
        <w:rPr>
          <w:b/>
          <w:sz w:val="28"/>
        </w:rPr>
        <w:t xml:space="preserve">8. Överföring till tredjeland</w:t>
      </w:r>
    </w:p>
    <w:p>
      <w:pPr>
        <w:spacing w:after="160"/>
      </w:pPr>
      <w:r>
        <w:rPr/>
        <w:t xml:space="preserve">Överföring utanför EU/EES får endast ske med giltig överföringsmekanism, t.ex. EU-kommissionens standardavtalsklausuler.</w:t>
      </w:r>
    </w:p>
    <w:p>
      <w:pPr>
        <w:spacing w:after="160"/>
      </w:pPr>
      <w:r>
        <w:rPr>
          <w:b/>
          <w:sz w:val="28"/>
        </w:rPr>
        <w:t xml:space="preserve">9. Bistånd och personuppgiftsincidenter</w:t>
      </w:r>
    </w:p>
    <w:p>
      <w:pPr>
        <w:spacing w:after="160"/>
      </w:pPr>
      <w:r>
        <w:rPr/>
        <w:t xml:space="preserve">Biträdet ska bistå den ansvarige vid registrerades rättigheter och anmäla personuppgiftsincidenter utan onödigt dröjsmål, senast inom [24] timmar från upptäckt.</w:t>
      </w:r>
    </w:p>
    <w:p>
      <w:pPr>
        <w:spacing w:after="160"/>
      </w:pPr>
      <w:r>
        <w:rPr>
          <w:b/>
          <w:sz w:val="28"/>
        </w:rPr>
        <w:t xml:space="preserve">10. Radering och granskning</w:t>
      </w:r>
    </w:p>
    <w:p>
      <w:pPr>
        <w:spacing w:after="160"/>
      </w:pPr>
      <w:r>
        <w:rPr/>
        <w:t xml:space="preserve">Vid avtalets slut ska uppgifterna raderas eller återlämnas enligt den ansvariges val. Den ansvarige har rätt till granskning eller revisionsrapport [en] gång per år.</w:t>
      </w:r>
    </w:p>
    <w:p>
      <w:pPr>
        <w:spacing w:after="160"/>
      </w:pPr>
      <w:r>
        <w:rPr>
          <w:b/>
          <w:sz w:val="28"/>
        </w:rPr>
        <w:t xml:space="preserve">11. Underskrifter</w:t>
      </w:r>
    </w:p>
    <w:p>
      <w:pPr>
        <w:spacing w:after="160"/>
      </w:pPr>
      <w:r>
        <w:rPr/>
        <w:t xml:space="preserve">Ort och datum: ____________________</w:t>
      </w:r>
    </w:p>
    <w:p>
      <w:pPr>
        <w:spacing w:after="160"/>
      </w:pPr>
      <w:r>
        <w:rPr/>
        <w:t xml:space="preserve">Personuppgiftsansvarig: ____________________    Biträde: ____________________</w:t>
      </w:r>
    </w:p>
    <w:p>
      <w:pPr>
        <w:spacing w:after="160"/>
      </w:pPr>
      <w:r>
        <w:rPr>
          <w:sz w:val="18"/>
        </w:rPr>
        <w:t xml:space="preserve">Mallen är ett allmänt underlag och ersätter inte juridisk rådgivning. Anpassa texten till din situation.</w:t>
      </w:r>
    </w:p>
    <w:p>
      <w:pPr>
        <w:spacing w:after="160"/>
      </w:pPr>
      <w:r>
        <w:rPr>
          <w:sz w:val="18"/>
        </w:rPr>
        <w:t xml:space="preserve">VI FÖRETAGARE – Sveriges tidning för företagare</w:t>
      </w:r>
    </w:p>
    <w:sectPr/>
  </w:body>
</w:document>
</file>